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Bdr>
          <w:bottom w:color="b7b7b7" w:space="11" w:sz="6" w:val="single"/>
        </w:pBdr>
        <w:spacing w:after="225" w:before="0" w:lineRule="auto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Spectrum Information categories (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from the latest version, Spectrum 5.0, published in September 2017)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related to museum financial transactions are:</w:t>
      </w:r>
    </w:p>
    <w:p w:rsidR="00000000" w:rsidDel="00000000" w:rsidP="00000000" w:rsidRDefault="00000000" w:rsidRPr="00000000" w14:paraId="00000002">
      <w:pPr>
        <w:pStyle w:val="Heading1"/>
        <w:pBdr>
          <w:bottom w:color="b7b7b7" w:space="11" w:sz="6" w:val="single"/>
        </w:pBdr>
        <w:spacing w:after="225" w:before="0" w:lineRule="auto"/>
        <w:rPr>
          <w:sz w:val="22"/>
          <w:szCs w:val="22"/>
        </w:rPr>
      </w:pPr>
      <w:r w:rsidDel="00000000" w:rsidR="00000000" w:rsidRPr="00000000">
        <w:rPr>
          <w:b w:val="1"/>
          <w:sz w:val="37"/>
          <w:szCs w:val="37"/>
          <w:rtl w:val="0"/>
        </w:rPr>
        <w:t xml:space="preserve">Acquisition information</w:t>
      </w:r>
      <w:r w:rsidDel="00000000" w:rsidR="00000000" w:rsidRPr="00000000">
        <w:rPr>
          <w:b w:val="1"/>
          <w:sz w:val="53"/>
          <w:szCs w:val="53"/>
          <w:rtl w:val="0"/>
        </w:rPr>
        <w:t xml:space="preserve"> </w:t>
      </w:r>
      <w:r w:rsidDel="00000000" w:rsidR="00000000" w:rsidRPr="00000000">
        <w:rPr>
          <w:b w:val="1"/>
          <w:sz w:val="22"/>
          <w:szCs w:val="22"/>
          <w:rtl w:val="0"/>
        </w:rPr>
        <w:t xml:space="preserve">(</w:t>
      </w:r>
      <w:r w:rsidDel="00000000" w:rsidR="00000000" w:rsidRPr="00000000">
        <w:rPr>
          <w:sz w:val="22"/>
          <w:szCs w:val="22"/>
          <w:rtl w:val="0"/>
        </w:rPr>
        <w:t xml:space="preserve">You must have a policy on acquiring objects, which might be part of a wider collections development policy covering disposals too. Either way, in deciding your policy you will most likely need to consider these questions: • What kinds of objects might you acquire and why? • What legal and ethical issues will you consider before acquiring objects? • Who can authorise acquisitions, particularly for the accessioned collection? • What are your normal terms and conditions for acquiring objects? • What steps will you take to check the provenance of potential acquisitions? • How will you calculate the ongoing costs (eg additional storage) of potential acquisitions? • How will you establish who owns any associated rights (eg copyright) and what is your policy on acquiring such rights? • What is your format for numbering new accessions and the preferred labelling and marking methods for different types of object? • How long should it normally take to complete the accessions process?)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sz w:val="26"/>
          <w:szCs w:val="26"/>
          <w:highlight w:val="white"/>
          <w:rtl w:val="0"/>
        </w:rPr>
        <w:t xml:space="preserve">Spectrum</w:t>
      </w:r>
      <w:r w:rsidDel="00000000" w:rsidR="00000000" w:rsidRPr="00000000">
        <w:rPr>
          <w:rtl w:val="0"/>
        </w:rPr>
        <w:t xml:space="preserve"> suggests: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Depending on the method of acquisition, obtain in addition the following documentation: 1) Bequests 2) Field collection 3) Gifts • The signed offer of an object from the donor, including any terms specified - although any gift with conditions is strongly discouraged. • The signed acceptance of the object by you, including any agreed terms. • Information about all gifts should be accessible by donor name. 4) Purchases • A signed statement from vendors stating that they are the legal owners. • A signed statement of the provenance of the object (if known). • The original invoice and receipt identifying the goods purchased. • The details and conditions of any grant aid received for the purchase. 5) Exchange • The transfer of title to the object for which the non-monetary exchange was made. 6) treasure • A record of the treasure inquest, including any expert report submitted as evidence.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to record an acquisition event. Reference the object(s) involved using their 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Object number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unit in the </w:t>
      </w:r>
      <w:r w:rsidDel="00000000" w:rsidR="00000000" w:rsidRPr="00000000">
        <w:rPr>
          <w:rFonts w:ascii="Helvetica Neue" w:cs="Helvetica Neue" w:eastAsia="Helvetica Neue" w:hAnsi="Helvetica Neu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Object identification information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group.</w:t>
      </w:r>
    </w:p>
    <w:p w:rsidR="00000000" w:rsidDel="00000000" w:rsidP="00000000" w:rsidRDefault="00000000" w:rsidRPr="00000000" w14:paraId="00000006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Units of information: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0" w:before="28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9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reference number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0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Accession date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1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authoriser</w:t>
        </w:r>
      </w:hyperlink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 (Per)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spacing w:after="0" w:before="0" w:line="240" w:lineRule="auto"/>
        <w:ind w:left="1440" w:hanging="360"/>
        <w:rPr>
          <w:rFonts w:ascii="Helvetica Neue" w:cs="Helvetica Neue" w:eastAsia="Helvetica Neue" w:hAnsi="Helvetica Neue"/>
          <w:color w:val="000000"/>
        </w:rPr>
      </w:pPr>
      <w:hyperlink r:id="rId12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authorisation date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3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date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4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funding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spacing w:after="0" w:before="0" w:line="240" w:lineRule="auto"/>
        <w:ind w:left="1440" w:hanging="360"/>
        <w:rPr>
          <w:rFonts w:ascii="Helvetica Neue" w:cs="Helvetica Neue" w:eastAsia="Helvetica Neue" w:hAnsi="Helvetica Neue"/>
          <w:color w:val="000000"/>
        </w:rPr>
      </w:pPr>
      <w:hyperlink r:id="rId15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funding source</w:t>
        </w:r>
      </w:hyperlink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 (Org, Per)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hd w:fill="ffffff" w:val="clear"/>
        <w:spacing w:after="0" w:before="0" w:line="240" w:lineRule="auto"/>
        <w:ind w:left="2160" w:hanging="360"/>
        <w:rPr>
          <w:rFonts w:ascii="Helvetica Neue" w:cs="Helvetica Neue" w:eastAsia="Helvetica Neue" w:hAnsi="Helvetica Neue"/>
          <w:color w:val="000000"/>
        </w:rPr>
      </w:pPr>
      <w:hyperlink r:id="rId16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funding source provisos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7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method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8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note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19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provisos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20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reason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21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Acquisition source</w:t>
        </w:r>
      </w:hyperlink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 (Org, Peo, Per)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  <w:highlight w:val="yellow"/>
        </w:rPr>
      </w:pPr>
      <w:hyperlink r:id="rId22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highlight w:val="yellow"/>
            <w:u w:val="single"/>
            <w:rtl w:val="0"/>
          </w:rPr>
          <w:t xml:space="preserve">Group purchase price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  <w:highlight w:val="yellow"/>
        </w:rPr>
      </w:pPr>
      <w:hyperlink r:id="rId23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highlight w:val="yellow"/>
            <w:u w:val="single"/>
            <w:rtl w:val="0"/>
          </w:rPr>
          <w:t xml:space="preserve">Object offer price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  <w:highlight w:val="yellow"/>
        </w:rPr>
      </w:pPr>
      <w:hyperlink r:id="rId24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highlight w:val="yellow"/>
            <w:u w:val="single"/>
            <w:rtl w:val="0"/>
          </w:rPr>
          <w:t xml:space="preserve">Object purchaser offer price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  <w:highlight w:val="yellow"/>
        </w:rPr>
      </w:pPr>
      <w:hyperlink r:id="rId25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highlight w:val="yellow"/>
            <w:u w:val="single"/>
            <w:rtl w:val="0"/>
          </w:rPr>
          <w:t xml:space="preserve">Object purchase price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hd w:fill="ffffff" w:val="clear"/>
        <w:spacing w:after="0" w:before="0" w:line="240" w:lineRule="auto"/>
        <w:ind w:left="720" w:hanging="360"/>
        <w:rPr>
          <w:rFonts w:ascii="Helvetica Neue" w:cs="Helvetica Neue" w:eastAsia="Helvetica Neue" w:hAnsi="Helvetica Neue"/>
          <w:color w:val="000000"/>
        </w:rPr>
      </w:pPr>
      <w:hyperlink r:id="rId26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highlight w:val="yellow"/>
            <w:u w:val="single"/>
            <w:rtl w:val="0"/>
          </w:rPr>
          <w:t xml:space="preserve">Original object purchase price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hd w:fill="ffffff" w:val="clear"/>
        <w:spacing w:after="0" w:before="0" w:line="240" w:lineRule="auto"/>
        <w:ind w:left="1440" w:hanging="360"/>
        <w:rPr>
          <w:rFonts w:ascii="Helvetica Neue" w:cs="Helvetica Neue" w:eastAsia="Helvetica Neue" w:hAnsi="Helvetica Neue"/>
          <w:color w:val="000000"/>
        </w:rPr>
      </w:pPr>
      <w:hyperlink r:id="rId27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Original object purchase price denomination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hd w:fill="ffffff" w:val="clear"/>
        <w:spacing w:after="280" w:before="0" w:line="240" w:lineRule="auto"/>
        <w:ind w:left="720" w:hanging="360"/>
        <w:rPr>
          <w:rFonts w:ascii="Helvetica Neue" w:cs="Helvetica Neue" w:eastAsia="Helvetica Neue" w:hAnsi="Helvetica Neue"/>
          <w:i w:val="0"/>
          <w:color w:val="000000"/>
        </w:rPr>
      </w:pPr>
      <w:hyperlink r:id="rId28">
        <w:r w:rsidDel="00000000" w:rsidR="00000000" w:rsidRPr="00000000">
          <w:rPr>
            <w:rFonts w:ascii="Helvetica Neue" w:cs="Helvetica Neue" w:eastAsia="Helvetica Neue" w:hAnsi="Helvetica Neue"/>
            <w:i w:val="1"/>
            <w:color w:val="0b0080"/>
            <w:u w:val="single"/>
            <w:rtl w:val="0"/>
          </w:rPr>
          <w:t xml:space="preserve">Transfer of title number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280" w:before="280" w:line="240" w:lineRule="auto"/>
        <w:rPr>
          <w:rFonts w:ascii="Helvetica Neue" w:cs="Helvetica Neue" w:eastAsia="Helvetica Neue" w:hAnsi="Helvetica Neue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280" w:before="280" w:line="240" w:lineRule="auto"/>
        <w:rPr>
          <w:rFonts w:ascii="Helvetica Neue" w:cs="Helvetica Neue" w:eastAsia="Helvetica Neue" w:hAnsi="Helvetica Neue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pBdr>
          <w:bottom w:color="b7b7b7" w:space="11" w:sz="6" w:val="single"/>
        </w:pBdr>
        <w:spacing w:after="225" w:before="0" w:lineRule="auto"/>
        <w:rPr>
          <w:sz w:val="37"/>
          <w:szCs w:val="37"/>
        </w:rPr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b w:val="1"/>
          <w:sz w:val="37"/>
          <w:szCs w:val="37"/>
          <w:rtl w:val="0"/>
        </w:rPr>
        <w:t xml:space="preserve">Group purchase price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b w:val="1"/>
          <w:color w:val="000000"/>
          <w:sz w:val="27"/>
          <w:szCs w:val="27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Definition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total price paid for a group of objects at acquisition, including taxes for which the purchase is liable. If individual prices are known for specific objects in the group, use 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Object acquisition price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0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How to record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local currency. Convert any non-local currency into local, using the exchange rate at date of acquisition. Use 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Acquisition note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to record details of non-local currency paid.</w:t>
      </w:r>
    </w:p>
    <w:p w:rsidR="00000000" w:rsidDel="00000000" w:rsidP="00000000" w:rsidRDefault="00000000" w:rsidRPr="00000000" w14:paraId="00000022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Examples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750.00</w:t>
      </w:r>
    </w:p>
    <w:p w:rsidR="00000000" w:rsidDel="00000000" w:rsidP="00000000" w:rsidRDefault="00000000" w:rsidRPr="00000000" w14:paraId="00000024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 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purchase price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can be used for a number of objects, but any object can only have a single 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purchase price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6">
      <w:pPr>
        <w:pStyle w:val="Heading3"/>
        <w:shd w:fill="ffffff" w:val="clear"/>
        <w:spacing w:before="0" w:lineRule="auto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rtl w:val="0"/>
        </w:rPr>
        <w:t xml:space="preserve">Information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29">
        <w:r w:rsidDel="00000000" w:rsidR="00000000" w:rsidRPr="00000000">
          <w:rPr>
            <w:rFonts w:ascii="Helvetica Neue" w:cs="Helvetica Neue" w:eastAsia="Helvetica Neue" w:hAnsi="Helvetica Neue"/>
            <w:b w:val="0"/>
            <w:i w:val="0"/>
            <w:smallCaps w:val="0"/>
            <w:strike w:val="0"/>
            <w:color w:val="0b0080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Acquisition information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color w:val="2e75b5"/>
          <w:sz w:val="37"/>
          <w:szCs w:val="37"/>
        </w:rPr>
      </w:pPr>
      <w:r w:rsidDel="00000000" w:rsidR="00000000" w:rsidRPr="00000000">
        <w:rPr>
          <w:rFonts w:ascii="Calibri" w:cs="Calibri" w:eastAsia="Calibri" w:hAnsi="Calibri"/>
          <w:b w:val="1"/>
          <w:color w:val="2e75b5"/>
          <w:sz w:val="37"/>
          <w:szCs w:val="37"/>
          <w:rtl w:val="0"/>
        </w:rPr>
        <w:t xml:space="preserve">Valuation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000000"/>
          <w:sz w:val="26"/>
          <w:szCs w:val="26"/>
          <w:highlight w:val="white"/>
          <w:rtl w:val="0"/>
        </w:rPr>
        <w:t xml:space="preserve">Spectrum</w:t>
      </w:r>
      <w:r w:rsidDel="00000000" w:rsidR="00000000" w:rsidRPr="00000000">
        <w:rPr>
          <w:rtl w:val="0"/>
        </w:rPr>
        <w:t xml:space="preserve"> suggests: 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  <w:color w:val="2e75b5"/>
          <w:sz w:val="53"/>
          <w:szCs w:val="53"/>
        </w:rPr>
      </w:pPr>
      <w:r w:rsidDel="00000000" w:rsidR="00000000" w:rsidRPr="00000000">
        <w:rPr>
          <w:rtl w:val="0"/>
        </w:rPr>
        <w:t xml:space="preserve">You will need to agree a set of principles for valuing different types of object, such as: • Current ‘market value’ of comparable objects. • Original valuation or purchase price, adjusted for inflation. • Cost of conservation. • Cost of acquiring another comparable object (potentially including transport and other costs). Valuations for conservation and repair can be a problem, and can be different from ‘market value’ (eg a ceremonial chair of small intrinsic value may be irreplaceable because of local associations: if damaged it may cost several times its value to restore). The purchase price may have no direct relation to a valuation (eg a vendor may intentionally sell an object to you at less than its market value).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thina Kritsotaki" w:id="0" w:date="2022-07-29T12:26:00Z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problematic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2B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0B3C5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0B3C55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Heading5">
    <w:name w:val="heading 5"/>
    <w:basedOn w:val="Normal"/>
    <w:link w:val="Heading5Char"/>
    <w:uiPriority w:val="9"/>
    <w:qFormat w:val="1"/>
    <w:rsid w:val="0053537F"/>
    <w:pPr>
      <w:spacing w:after="100" w:afterAutospacing="1" w:before="100" w:beforeAutospacing="1" w:line="240" w:lineRule="auto"/>
      <w:outlineLvl w:val="4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5Char" w:customStyle="1">
    <w:name w:val="Heading 5 Char"/>
    <w:basedOn w:val="DefaultParagraphFont"/>
    <w:link w:val="Heading5"/>
    <w:uiPriority w:val="9"/>
    <w:rsid w:val="0053537F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NormalWeb">
    <w:name w:val="Normal (Web)"/>
    <w:basedOn w:val="Normal"/>
    <w:uiPriority w:val="99"/>
    <w:semiHidden w:val="1"/>
    <w:unhideWhenUsed w:val="1"/>
    <w:rsid w:val="0053537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irst-paragraph" w:customStyle="1">
    <w:name w:val="first-paragraph"/>
    <w:basedOn w:val="DefaultParagraphFont"/>
    <w:rsid w:val="0053537F"/>
  </w:style>
  <w:style w:type="character" w:styleId="Hyperlink">
    <w:name w:val="Hyperlink"/>
    <w:basedOn w:val="DefaultParagraphFont"/>
    <w:uiPriority w:val="99"/>
    <w:semiHidden w:val="1"/>
    <w:unhideWhenUsed w:val="1"/>
    <w:rsid w:val="0053537F"/>
    <w:rPr>
      <w:color w:val="0000ff"/>
      <w:u w:val="single"/>
    </w:rPr>
  </w:style>
  <w:style w:type="character" w:styleId="pop-up" w:customStyle="1">
    <w:name w:val="pop-up"/>
    <w:basedOn w:val="DefaultParagraphFont"/>
    <w:rsid w:val="0053537F"/>
  </w:style>
  <w:style w:type="character" w:styleId="Heading1Char" w:customStyle="1">
    <w:name w:val="Heading 1 Char"/>
    <w:basedOn w:val="DefaultParagraphFont"/>
    <w:link w:val="Heading1"/>
    <w:uiPriority w:val="9"/>
    <w:rsid w:val="000B3C55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B3C55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Emphasis">
    <w:name w:val="Emphasis"/>
    <w:basedOn w:val="DefaultParagraphFont"/>
    <w:uiPriority w:val="20"/>
    <w:qFormat w:val="1"/>
    <w:rsid w:val="000B3C55"/>
    <w:rPr>
      <w:i w:val="1"/>
      <w:iCs w:val="1"/>
    </w:rPr>
  </w:style>
  <w:style w:type="character" w:styleId="Strong">
    <w:name w:val="Strong"/>
    <w:basedOn w:val="DefaultParagraphFont"/>
    <w:uiPriority w:val="22"/>
    <w:qFormat w:val="1"/>
    <w:rsid w:val="000B3C55"/>
    <w:rPr>
      <w:b w:val="1"/>
      <w:bCs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AC0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AC094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AC09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AC0948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AC0948"/>
    <w:rPr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rsid w:val="00AC094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C094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C0948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collectionstrust.org.uk/resource/acquisition-reason" TargetMode="External"/><Relationship Id="rId22" Type="http://schemas.openxmlformats.org/officeDocument/2006/relationships/hyperlink" Target="https://collectionstrust.org.uk/resource/group-purchase-price" TargetMode="External"/><Relationship Id="rId21" Type="http://schemas.openxmlformats.org/officeDocument/2006/relationships/hyperlink" Target="https://collectionstrust.org.uk/resource/acquisition-source" TargetMode="External"/><Relationship Id="rId24" Type="http://schemas.openxmlformats.org/officeDocument/2006/relationships/hyperlink" Target="https://collectionstrust.org.uk/resource/object-purchaser-offer-price" TargetMode="External"/><Relationship Id="rId23" Type="http://schemas.openxmlformats.org/officeDocument/2006/relationships/hyperlink" Target="https://collectionstrust.org.uk/resource/object-offer-price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collectionstrust.org.uk/resource/acquisition-reference-number" TargetMode="External"/><Relationship Id="rId26" Type="http://schemas.openxmlformats.org/officeDocument/2006/relationships/hyperlink" Target="https://collectionstrust.org.uk/resource/original-object-purchase-price" TargetMode="External"/><Relationship Id="rId25" Type="http://schemas.openxmlformats.org/officeDocument/2006/relationships/hyperlink" Target="https://collectionstrust.org.uk/resource/object-purchase-price" TargetMode="External"/><Relationship Id="rId28" Type="http://schemas.openxmlformats.org/officeDocument/2006/relationships/hyperlink" Target="https://collectionstrust.org.uk/resource/transfer-of-title-number" TargetMode="External"/><Relationship Id="rId27" Type="http://schemas.openxmlformats.org/officeDocument/2006/relationships/hyperlink" Target="https://collectionstrust.org.uk/resource/original-object-purchase-price-denomination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hyperlink" Target="https://collectionstrust.org.uk/resource/acquisition-information" TargetMode="Externa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Relationship Id="rId11" Type="http://schemas.openxmlformats.org/officeDocument/2006/relationships/hyperlink" Target="https://collectionstrust.org.uk/resource/acquisition-authoriser" TargetMode="External"/><Relationship Id="rId10" Type="http://schemas.openxmlformats.org/officeDocument/2006/relationships/hyperlink" Target="https://collectionstrust.org.uk/resource/accession-date" TargetMode="External"/><Relationship Id="rId13" Type="http://schemas.openxmlformats.org/officeDocument/2006/relationships/hyperlink" Target="https://collectionstrust.org.uk/resource/acquisition-date" TargetMode="External"/><Relationship Id="rId12" Type="http://schemas.openxmlformats.org/officeDocument/2006/relationships/hyperlink" Target="https://collectionstrust.org.uk/resource/acquisition-authorisation-date" TargetMode="External"/><Relationship Id="rId15" Type="http://schemas.openxmlformats.org/officeDocument/2006/relationships/hyperlink" Target="https://collectionstrust.org.uk/resource/acquisition-funding-source" TargetMode="External"/><Relationship Id="rId14" Type="http://schemas.openxmlformats.org/officeDocument/2006/relationships/hyperlink" Target="https://collectionstrust.org.uk/resource/acquisition-funding" TargetMode="External"/><Relationship Id="rId17" Type="http://schemas.openxmlformats.org/officeDocument/2006/relationships/hyperlink" Target="https://collectionstrust.org.uk/resource/acquisition-method" TargetMode="External"/><Relationship Id="rId16" Type="http://schemas.openxmlformats.org/officeDocument/2006/relationships/hyperlink" Target="https://collectionstrust.org.uk/resource/acquisition-funding-source-provisos" TargetMode="External"/><Relationship Id="rId19" Type="http://schemas.openxmlformats.org/officeDocument/2006/relationships/hyperlink" Target="https://collectionstrust.org.uk/resource/acquisition-provisos" TargetMode="External"/><Relationship Id="rId18" Type="http://schemas.openxmlformats.org/officeDocument/2006/relationships/hyperlink" Target="https://collectionstrust.org.uk/resource/acquisition-not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PG0Hr8cXFIBbVcJ9WaA8eWV9vA==">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2022-07-29T07:25:00Z</dcterms:created>
  <dc:creator>Athina Kritsotaki</dc:creator>
</cp:coreProperties>
</file>